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51" w:rsidRDefault="00632451" w:rsidP="00632451">
      <w:pPr>
        <w:autoSpaceDE w:val="0"/>
        <w:autoSpaceDN w:val="0"/>
        <w:adjustRightInd w:val="0"/>
        <w:jc w:val="center"/>
        <w:rPr>
          <w:b/>
        </w:rPr>
      </w:pPr>
      <w:r>
        <w:rPr>
          <w:b/>
        </w:rPr>
        <w:t>MAE 4880: Introduction to Packaging Using Anisotropic Natural Materials</w:t>
      </w:r>
    </w:p>
    <w:p w:rsidR="00632451" w:rsidRDefault="00632451" w:rsidP="00632451">
      <w:pPr>
        <w:autoSpaceDE w:val="0"/>
        <w:autoSpaceDN w:val="0"/>
        <w:adjustRightInd w:val="0"/>
        <w:jc w:val="center"/>
        <w:rPr>
          <w:b/>
          <w:bCs/>
        </w:rPr>
      </w:pPr>
      <w:r>
        <w:rPr>
          <w:b/>
          <w:bCs/>
        </w:rPr>
        <w:t>4 credits</w:t>
      </w:r>
    </w:p>
    <w:p w:rsidR="00632451" w:rsidRDefault="00632451" w:rsidP="00632451">
      <w:pPr>
        <w:autoSpaceDE w:val="0"/>
        <w:autoSpaceDN w:val="0"/>
        <w:adjustRightInd w:val="0"/>
        <w:jc w:val="center"/>
        <w:rPr>
          <w:b/>
          <w:bCs/>
        </w:rPr>
      </w:pPr>
    </w:p>
    <w:p w:rsidR="00632451" w:rsidRPr="006739EF" w:rsidRDefault="00632451" w:rsidP="00632451">
      <w:pPr>
        <w:autoSpaceDE w:val="0"/>
        <w:autoSpaceDN w:val="0"/>
        <w:adjustRightInd w:val="0"/>
        <w:rPr>
          <w:b/>
          <w:bCs/>
        </w:rPr>
      </w:pPr>
      <w:r>
        <w:rPr>
          <w:b/>
          <w:bCs/>
        </w:rPr>
        <w:t xml:space="preserve">Contact Hours: </w:t>
      </w:r>
      <w:r>
        <w:t xml:space="preserve">Three 50-minute lectures each week.  Labs meet every week during the semester for 2 hours and 30 minutes.  </w:t>
      </w:r>
    </w:p>
    <w:p w:rsidR="00632451" w:rsidRPr="006739EF" w:rsidRDefault="00632451" w:rsidP="00632451">
      <w:pPr>
        <w:autoSpaceDE w:val="0"/>
        <w:autoSpaceDN w:val="0"/>
        <w:adjustRightInd w:val="0"/>
        <w:jc w:val="center"/>
        <w:rPr>
          <w:b/>
          <w:bCs/>
        </w:rPr>
      </w:pPr>
    </w:p>
    <w:p w:rsidR="00632451" w:rsidRPr="006739EF" w:rsidRDefault="00632451" w:rsidP="00632451">
      <w:pPr>
        <w:autoSpaceDE w:val="0"/>
        <w:autoSpaceDN w:val="0"/>
        <w:adjustRightInd w:val="0"/>
        <w:ind w:left="360" w:hanging="360"/>
      </w:pPr>
      <w:r w:rsidRPr="006739EF">
        <w:rPr>
          <w:b/>
          <w:bCs/>
          <w:color w:val="000000"/>
        </w:rPr>
        <w:t xml:space="preserve">Instructors: </w:t>
      </w:r>
      <w:proofErr w:type="spellStart"/>
      <w:r>
        <w:t>Erb</w:t>
      </w:r>
      <w:proofErr w:type="spellEnd"/>
      <w:r>
        <w:t xml:space="preserve"> </w:t>
      </w:r>
      <w:proofErr w:type="spellStart"/>
      <w:r>
        <w:t>Volkswagon</w:t>
      </w:r>
      <w:proofErr w:type="spellEnd"/>
      <w:r>
        <w:t xml:space="preserve"> </w:t>
      </w:r>
    </w:p>
    <w:p w:rsidR="00632451" w:rsidRPr="006739EF" w:rsidRDefault="00632451" w:rsidP="00632451">
      <w:pPr>
        <w:autoSpaceDE w:val="0"/>
        <w:autoSpaceDN w:val="0"/>
        <w:adjustRightInd w:val="0"/>
        <w:rPr>
          <w:b/>
          <w:bCs/>
          <w:color w:val="000000"/>
        </w:rPr>
      </w:pPr>
    </w:p>
    <w:p w:rsidR="00632451" w:rsidRPr="006739EF" w:rsidRDefault="00632451" w:rsidP="00632451">
      <w:pPr>
        <w:autoSpaceDE w:val="0"/>
        <w:autoSpaceDN w:val="0"/>
        <w:adjustRightInd w:val="0"/>
        <w:rPr>
          <w:b/>
          <w:bCs/>
        </w:rPr>
      </w:pPr>
      <w:r w:rsidRPr="006739EF">
        <w:rPr>
          <w:b/>
          <w:bCs/>
        </w:rPr>
        <w:t>Textbook(s) and other required material:</w:t>
      </w:r>
    </w:p>
    <w:p w:rsidR="00632451" w:rsidRDefault="00632451" w:rsidP="00632451">
      <w:pPr>
        <w:autoSpaceDE w:val="0"/>
        <w:autoSpaceDN w:val="0"/>
        <w:adjustRightInd w:val="0"/>
      </w:pPr>
      <w:r>
        <w:rPr>
          <w:i/>
        </w:rPr>
        <w:t>Web Designs for the 21st Century,</w:t>
      </w:r>
      <w:r>
        <w:t xml:space="preserve"> W. </w:t>
      </w:r>
      <w:proofErr w:type="spellStart"/>
      <w:r>
        <w:t>Gaits</w:t>
      </w:r>
      <w:proofErr w:type="spellEnd"/>
      <w:r>
        <w:t>, Pretentious Hall, 2000.</w:t>
      </w:r>
    </w:p>
    <w:p w:rsidR="00632451" w:rsidRDefault="00632451" w:rsidP="00632451">
      <w:pPr>
        <w:autoSpaceDE w:val="0"/>
        <w:autoSpaceDN w:val="0"/>
        <w:adjustRightInd w:val="0"/>
      </w:pPr>
      <w:r>
        <w:rPr>
          <w:i/>
        </w:rPr>
        <w:t>Basket Weaving for Engineers,</w:t>
      </w:r>
      <w:r>
        <w:rPr>
          <w:b/>
        </w:rPr>
        <w:t xml:space="preserve"> </w:t>
      </w:r>
      <w:r>
        <w:t xml:space="preserve">D. </w:t>
      </w:r>
      <w:proofErr w:type="spellStart"/>
      <w:r>
        <w:t>Ralliday</w:t>
      </w:r>
      <w:proofErr w:type="spellEnd"/>
      <w:r>
        <w:t xml:space="preserve"> and R. </w:t>
      </w:r>
      <w:proofErr w:type="spellStart"/>
      <w:r>
        <w:t>Hesnick</w:t>
      </w:r>
      <w:proofErr w:type="spellEnd"/>
      <w:r>
        <w:t>, J Smiley &amp; Sons, Fifteenth edition, 2004.</w:t>
      </w:r>
    </w:p>
    <w:p w:rsidR="00632451" w:rsidRPr="006739EF" w:rsidRDefault="00632451" w:rsidP="00632451">
      <w:pPr>
        <w:autoSpaceDE w:val="0"/>
        <w:autoSpaceDN w:val="0"/>
        <w:adjustRightInd w:val="0"/>
      </w:pPr>
    </w:p>
    <w:p w:rsidR="00632451" w:rsidRPr="006739EF" w:rsidRDefault="00632451" w:rsidP="00632451">
      <w:pPr>
        <w:autoSpaceDE w:val="0"/>
        <w:autoSpaceDN w:val="0"/>
        <w:adjustRightInd w:val="0"/>
      </w:pPr>
      <w:r w:rsidRPr="006739EF">
        <w:rPr>
          <w:b/>
          <w:bCs/>
        </w:rPr>
        <w:t xml:space="preserve">Course (catalog) description: </w:t>
      </w:r>
      <w:r>
        <w:t>Spring.  Also offered in the summer through the Cornell study abroad program at Cornell in Tahiti. 4 credits.</w:t>
      </w:r>
    </w:p>
    <w:p w:rsidR="00632451" w:rsidRDefault="00632451" w:rsidP="00632451">
      <w:pPr>
        <w:autoSpaceDE w:val="0"/>
        <w:autoSpaceDN w:val="0"/>
        <w:adjustRightInd w:val="0"/>
      </w:pPr>
    </w:p>
    <w:p w:rsidR="00632451" w:rsidRDefault="00632451" w:rsidP="00632451">
      <w:pPr>
        <w:autoSpaceDE w:val="0"/>
        <w:autoSpaceDN w:val="0"/>
        <w:adjustRightInd w:val="0"/>
      </w:pPr>
      <w:r>
        <w:t>Introduction to the design, analysis, and fabrication of packaging and other structures made by weaving strongly anisotropic natural materials, such as reeds, fronds, and twigs.  Topics include material selection, structural design and analysis, prediction of life-cycle performance, and design for aesthetics.</w:t>
      </w:r>
    </w:p>
    <w:p w:rsidR="00632451" w:rsidRPr="006739EF" w:rsidRDefault="00632451" w:rsidP="00632451">
      <w:pPr>
        <w:autoSpaceDE w:val="0"/>
        <w:autoSpaceDN w:val="0"/>
        <w:adjustRightInd w:val="0"/>
      </w:pPr>
    </w:p>
    <w:p w:rsidR="00632451" w:rsidRDefault="00632451" w:rsidP="00632451">
      <w:pPr>
        <w:autoSpaceDE w:val="0"/>
        <w:autoSpaceDN w:val="0"/>
        <w:adjustRightInd w:val="0"/>
      </w:pPr>
      <w:r w:rsidRPr="006739EF">
        <w:rPr>
          <w:b/>
          <w:bCs/>
        </w:rPr>
        <w:t xml:space="preserve">Prerequisite(s): </w:t>
      </w:r>
      <w:smartTag w:uri="urn:schemas-microsoft-com:office:smarttags" w:element="stockticker">
        <w:r>
          <w:t>MATH</w:t>
        </w:r>
      </w:smartTag>
      <w:r>
        <w:t xml:space="preserve"> 2940, MAE 3250, ART 1410.</w:t>
      </w:r>
    </w:p>
    <w:p w:rsidR="00632451" w:rsidRPr="006739EF" w:rsidRDefault="00632451" w:rsidP="00632451">
      <w:pPr>
        <w:autoSpaceDE w:val="0"/>
        <w:autoSpaceDN w:val="0"/>
        <w:adjustRightInd w:val="0"/>
      </w:pPr>
    </w:p>
    <w:p w:rsidR="00632451" w:rsidRPr="006739EF" w:rsidRDefault="00632451" w:rsidP="00632451">
      <w:pPr>
        <w:autoSpaceDE w:val="0"/>
        <w:autoSpaceDN w:val="0"/>
        <w:adjustRightInd w:val="0"/>
      </w:pPr>
      <w:r w:rsidRPr="006739EF">
        <w:rPr>
          <w:b/>
          <w:bCs/>
          <w:color w:val="000000"/>
        </w:rPr>
        <w:t xml:space="preserve">Designation as a ‘Required’ or ‘Elective’ course: </w:t>
      </w:r>
      <w:r w:rsidRPr="006739EF">
        <w:t>Elective.</w:t>
      </w:r>
    </w:p>
    <w:p w:rsidR="00632451" w:rsidRPr="006739EF" w:rsidRDefault="00632451" w:rsidP="00632451">
      <w:pPr>
        <w:autoSpaceDE w:val="0"/>
        <w:autoSpaceDN w:val="0"/>
        <w:adjustRightInd w:val="0"/>
      </w:pPr>
    </w:p>
    <w:p w:rsidR="00632451" w:rsidRPr="006739EF" w:rsidRDefault="00632451" w:rsidP="00632451">
      <w:pPr>
        <w:autoSpaceDE w:val="0"/>
        <w:autoSpaceDN w:val="0"/>
        <w:adjustRightInd w:val="0"/>
        <w:rPr>
          <w:b/>
          <w:bCs/>
        </w:rPr>
      </w:pPr>
      <w:r w:rsidRPr="006739EF">
        <w:rPr>
          <w:b/>
          <w:bCs/>
        </w:rPr>
        <w:t>Course learning outcomes</w:t>
      </w:r>
      <w:r w:rsidR="005B61F2">
        <w:rPr>
          <w:rStyle w:val="FootnoteReference"/>
          <w:b/>
          <w:bCs/>
        </w:rPr>
        <w:footnoteReference w:id="1"/>
      </w:r>
      <w:r w:rsidRPr="006739EF">
        <w:rPr>
          <w:b/>
          <w:bCs/>
        </w:rPr>
        <w:t>:</w:t>
      </w:r>
    </w:p>
    <w:p w:rsidR="00632451" w:rsidRPr="006739EF" w:rsidRDefault="00632451" w:rsidP="00632451">
      <w:pPr>
        <w:autoSpaceDE w:val="0"/>
        <w:autoSpaceDN w:val="0"/>
        <w:adjustRightInd w:val="0"/>
      </w:pPr>
      <w:r w:rsidRPr="006739EF">
        <w:t>Upon completion o</w:t>
      </w:r>
      <w:r>
        <w:t xml:space="preserve">f the course, students should </w:t>
      </w:r>
      <w:r w:rsidR="006556F1">
        <w:t>be able to</w:t>
      </w:r>
      <w:r w:rsidRPr="006739EF">
        <w:t>:</w:t>
      </w:r>
    </w:p>
    <w:p w:rsidR="00632451" w:rsidRPr="006556F1" w:rsidRDefault="00632451" w:rsidP="00632451">
      <w:pPr>
        <w:numPr>
          <w:ilvl w:val="3"/>
          <w:numId w:val="2"/>
        </w:numPr>
        <w:tabs>
          <w:tab w:val="clear" w:pos="720"/>
        </w:tabs>
        <w:autoSpaceDE w:val="0"/>
        <w:autoSpaceDN w:val="0"/>
        <w:adjustRightInd w:val="0"/>
        <w:ind w:left="360"/>
        <w:rPr>
          <w:color w:val="000000" w:themeColor="text1"/>
        </w:rPr>
      </w:pPr>
      <w:r w:rsidRPr="006556F1">
        <w:rPr>
          <w:color w:val="000000" w:themeColor="text1"/>
        </w:rPr>
        <w:t xml:space="preserve">Know and understand the primary analytical, computational, and experimental tools for analyzing and simulating the material and functional properties of containers and other structures ('baskets', for brevity) woven from strongly anisotropic natural materials </w:t>
      </w:r>
      <w:r w:rsidR="006556F1" w:rsidRPr="006556F1">
        <w:rPr>
          <w:color w:val="000000" w:themeColor="text1"/>
        </w:rPr>
        <w:t>(</w:t>
      </w:r>
      <w:r w:rsidRPr="006556F1">
        <w:rPr>
          <w:color w:val="000000" w:themeColor="text1"/>
        </w:rPr>
        <w:t>ABET outcomes a, b, e and k);</w:t>
      </w:r>
    </w:p>
    <w:p w:rsidR="00632451" w:rsidRPr="006556F1" w:rsidRDefault="00632451" w:rsidP="00632451">
      <w:pPr>
        <w:numPr>
          <w:ilvl w:val="3"/>
          <w:numId w:val="2"/>
        </w:numPr>
        <w:tabs>
          <w:tab w:val="clear" w:pos="720"/>
        </w:tabs>
        <w:autoSpaceDE w:val="0"/>
        <w:autoSpaceDN w:val="0"/>
        <w:adjustRightInd w:val="0"/>
        <w:ind w:left="360"/>
        <w:rPr>
          <w:color w:val="000000" w:themeColor="text1"/>
        </w:rPr>
      </w:pPr>
      <w:r w:rsidRPr="006556F1">
        <w:rPr>
          <w:color w:val="000000" w:themeColor="text1"/>
        </w:rPr>
        <w:t>Know and understand key aesthetic concepts pertinent to basket design, and tools for analyzing the aesthetics of particul</w:t>
      </w:r>
      <w:r w:rsidR="006556F1" w:rsidRPr="006556F1">
        <w:rPr>
          <w:color w:val="000000" w:themeColor="text1"/>
        </w:rPr>
        <w:t>ar designs (</w:t>
      </w:r>
      <w:r w:rsidRPr="006556F1">
        <w:rPr>
          <w:color w:val="000000" w:themeColor="text1"/>
        </w:rPr>
        <w:t>ABET outcome c);</w:t>
      </w:r>
    </w:p>
    <w:p w:rsidR="00632451" w:rsidRPr="006556F1" w:rsidRDefault="00632451" w:rsidP="00632451">
      <w:pPr>
        <w:numPr>
          <w:ilvl w:val="3"/>
          <w:numId w:val="2"/>
        </w:numPr>
        <w:tabs>
          <w:tab w:val="clear" w:pos="720"/>
        </w:tabs>
        <w:autoSpaceDE w:val="0"/>
        <w:autoSpaceDN w:val="0"/>
        <w:adjustRightInd w:val="0"/>
        <w:ind w:left="360"/>
        <w:rPr>
          <w:color w:val="000000" w:themeColor="text1"/>
        </w:rPr>
      </w:pPr>
      <w:r w:rsidRPr="006556F1">
        <w:rPr>
          <w:color w:val="000000" w:themeColor="text1"/>
        </w:rPr>
        <w:t>Know and understand the two major manufacturing paradigms (artisan, automated) used to weave baskets;</w:t>
      </w:r>
    </w:p>
    <w:p w:rsidR="00632451" w:rsidRPr="006556F1" w:rsidRDefault="006556F1" w:rsidP="00632451">
      <w:pPr>
        <w:numPr>
          <w:ilvl w:val="3"/>
          <w:numId w:val="2"/>
        </w:numPr>
        <w:tabs>
          <w:tab w:val="clear" w:pos="720"/>
        </w:tabs>
        <w:autoSpaceDE w:val="0"/>
        <w:autoSpaceDN w:val="0"/>
        <w:adjustRightInd w:val="0"/>
        <w:ind w:left="360"/>
        <w:rPr>
          <w:color w:val="000000" w:themeColor="text1"/>
        </w:rPr>
      </w:pPr>
      <w:r>
        <w:rPr>
          <w:color w:val="000000" w:themeColor="text1"/>
        </w:rPr>
        <w:t>Design</w:t>
      </w:r>
      <w:r w:rsidR="00632451" w:rsidRPr="006556F1">
        <w:rPr>
          <w:color w:val="000000" w:themeColor="text1"/>
        </w:rPr>
        <w:t xml:space="preserve"> and make a basket to meet specified load, aesthetic, and durability re</w:t>
      </w:r>
      <w:r w:rsidRPr="006556F1">
        <w:rPr>
          <w:color w:val="000000" w:themeColor="text1"/>
        </w:rPr>
        <w:t>quirements (</w:t>
      </w:r>
      <w:r w:rsidR="00632451" w:rsidRPr="006556F1">
        <w:rPr>
          <w:color w:val="000000" w:themeColor="text1"/>
        </w:rPr>
        <w:t>ABET outcome c);</w:t>
      </w:r>
    </w:p>
    <w:p w:rsidR="00632451" w:rsidRPr="006556F1" w:rsidRDefault="006556F1" w:rsidP="00632451">
      <w:pPr>
        <w:numPr>
          <w:ilvl w:val="3"/>
          <w:numId w:val="2"/>
        </w:numPr>
        <w:tabs>
          <w:tab w:val="clear" w:pos="720"/>
        </w:tabs>
        <w:autoSpaceDE w:val="0"/>
        <w:autoSpaceDN w:val="0"/>
        <w:adjustRightInd w:val="0"/>
        <w:ind w:left="360"/>
        <w:rPr>
          <w:color w:val="000000" w:themeColor="text1"/>
        </w:rPr>
      </w:pPr>
      <w:r>
        <w:rPr>
          <w:color w:val="000000" w:themeColor="text1"/>
        </w:rPr>
        <w:t>Conduct</w:t>
      </w:r>
      <w:r w:rsidR="00632451" w:rsidRPr="006556F1">
        <w:rPr>
          <w:color w:val="000000" w:themeColor="text1"/>
        </w:rPr>
        <w:t xml:space="preserve"> load and fatigue tests on bask</w:t>
      </w:r>
      <w:r w:rsidRPr="006556F1">
        <w:rPr>
          <w:color w:val="000000" w:themeColor="text1"/>
        </w:rPr>
        <w:t>ets (</w:t>
      </w:r>
      <w:r w:rsidR="00632451" w:rsidRPr="006556F1">
        <w:rPr>
          <w:color w:val="000000" w:themeColor="text1"/>
        </w:rPr>
        <w:t>ABET outcomes b and k);</w:t>
      </w:r>
    </w:p>
    <w:p w:rsidR="00632451" w:rsidRPr="006556F1" w:rsidRDefault="006556F1" w:rsidP="00632451">
      <w:pPr>
        <w:numPr>
          <w:ilvl w:val="3"/>
          <w:numId w:val="2"/>
        </w:numPr>
        <w:tabs>
          <w:tab w:val="clear" w:pos="720"/>
        </w:tabs>
        <w:autoSpaceDE w:val="0"/>
        <w:autoSpaceDN w:val="0"/>
        <w:adjustRightInd w:val="0"/>
        <w:ind w:left="360"/>
        <w:rPr>
          <w:color w:val="000000" w:themeColor="text1"/>
        </w:rPr>
      </w:pPr>
      <w:r>
        <w:rPr>
          <w:color w:val="000000" w:themeColor="text1"/>
        </w:rPr>
        <w:t>Learn</w:t>
      </w:r>
      <w:r w:rsidR="00632451" w:rsidRPr="006556F1">
        <w:rPr>
          <w:color w:val="000000" w:themeColor="text1"/>
        </w:rPr>
        <w:t xml:space="preserve">, </w:t>
      </w:r>
      <w:r w:rsidR="00632451" w:rsidRPr="006556F1">
        <w:rPr>
          <w:color w:val="000000" w:themeColor="text1"/>
        </w:rPr>
        <w:t>through self-</w:t>
      </w:r>
      <w:r w:rsidR="00632451" w:rsidRPr="006556F1">
        <w:rPr>
          <w:color w:val="000000" w:themeColor="text1"/>
        </w:rPr>
        <w:t>study, new techniques for design, analysis, or fabrication of baskets that are made from ani</w:t>
      </w:r>
      <w:r w:rsidRPr="006556F1">
        <w:rPr>
          <w:color w:val="000000" w:themeColor="text1"/>
        </w:rPr>
        <w:t>sotropic natural materials (</w:t>
      </w:r>
      <w:r w:rsidR="00632451" w:rsidRPr="006556F1">
        <w:rPr>
          <w:color w:val="000000" w:themeColor="text1"/>
        </w:rPr>
        <w:t>ABET outcome i).</w:t>
      </w:r>
    </w:p>
    <w:p w:rsidR="00632451" w:rsidRPr="006739EF" w:rsidRDefault="00632451" w:rsidP="00632451">
      <w:pPr>
        <w:autoSpaceDE w:val="0"/>
        <w:autoSpaceDN w:val="0"/>
        <w:adjustRightInd w:val="0"/>
        <w:ind w:left="360" w:hanging="360"/>
      </w:pPr>
    </w:p>
    <w:p w:rsidR="006D74ED" w:rsidRDefault="006D74ED" w:rsidP="00632451">
      <w:pPr>
        <w:autoSpaceDE w:val="0"/>
        <w:autoSpaceDN w:val="0"/>
        <w:adjustRightInd w:val="0"/>
        <w:rPr>
          <w:b/>
          <w:bCs/>
        </w:rPr>
      </w:pPr>
    </w:p>
    <w:p w:rsidR="006D74ED" w:rsidRDefault="006D74ED" w:rsidP="00632451">
      <w:pPr>
        <w:autoSpaceDE w:val="0"/>
        <w:autoSpaceDN w:val="0"/>
        <w:adjustRightInd w:val="0"/>
        <w:rPr>
          <w:b/>
          <w:bCs/>
        </w:rPr>
      </w:pPr>
    </w:p>
    <w:p w:rsidR="00632451" w:rsidRPr="006739EF" w:rsidRDefault="00632451" w:rsidP="00632451">
      <w:pPr>
        <w:autoSpaceDE w:val="0"/>
        <w:autoSpaceDN w:val="0"/>
        <w:adjustRightInd w:val="0"/>
        <w:rPr>
          <w:b/>
          <w:bCs/>
        </w:rPr>
      </w:pPr>
      <w:r w:rsidRPr="006739EF">
        <w:rPr>
          <w:b/>
          <w:bCs/>
        </w:rPr>
        <w:lastRenderedPageBreak/>
        <w:t>Topics covered:</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Anisotropic material properties, solid mechanics, and failure modes of engineering grade marsh reeds and palm fronds.</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Load and deformation analysis of woven web structures.</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Experimental load testing, the how-many-bananas-till-the-bottom-falls-out test.</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Fast furrier cross-weave transforms.</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CAD of curvilinear baskets to meet volumetric and aesthetic requirements</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Fatigue analysis of marsh reeds and palm fronds.</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Experimental fatigue testing, the how-many-miles-on-a-camel-till-the-handles-break test.</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Experimental toughness testing, the how-long-does-it-take-the-TA-to-break-out test.</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Weaving, the basic basket.</w:t>
      </w:r>
    </w:p>
    <w:p w:rsidR="006556F1" w:rsidRPr="006556F1"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Numerically controlled weaving of high-tech plant-tissue-based packaging: CD cases, laptop carriers, artistic cell phone bodies, etc.</w:t>
      </w:r>
    </w:p>
    <w:p w:rsidR="00632451" w:rsidRPr="004B19CF" w:rsidRDefault="006556F1" w:rsidP="006556F1">
      <w:pPr>
        <w:pStyle w:val="ListParagraph"/>
        <w:numPr>
          <w:ilvl w:val="0"/>
          <w:numId w:val="1"/>
        </w:numPr>
        <w:autoSpaceDE w:val="0"/>
        <w:autoSpaceDN w:val="0"/>
        <w:adjustRightInd w:val="0"/>
        <w:spacing w:after="0"/>
        <w:ind w:left="360"/>
        <w:rPr>
          <w:rFonts w:ascii="Times New Roman" w:hAnsi="Times New Roman" w:cs="Times New Roman"/>
          <w:sz w:val="24"/>
          <w:szCs w:val="24"/>
        </w:rPr>
      </w:pPr>
      <w:r w:rsidRPr="006556F1">
        <w:rPr>
          <w:rFonts w:ascii="Times New Roman" w:hAnsi="Times New Roman" w:cs="Times New Roman"/>
          <w:sz w:val="24"/>
          <w:szCs w:val="24"/>
        </w:rPr>
        <w:t>Advanced weaving project in which students must lea</w:t>
      </w:r>
      <w:r w:rsidR="00F02038">
        <w:rPr>
          <w:rFonts w:ascii="Times New Roman" w:hAnsi="Times New Roman" w:cs="Times New Roman"/>
          <w:sz w:val="24"/>
          <w:szCs w:val="24"/>
        </w:rPr>
        <w:t>rn a new technique through self-</w:t>
      </w:r>
      <w:r w:rsidRPr="006556F1">
        <w:rPr>
          <w:rFonts w:ascii="Times New Roman" w:hAnsi="Times New Roman" w:cs="Times New Roman"/>
          <w:sz w:val="24"/>
          <w:szCs w:val="24"/>
        </w:rPr>
        <w:t xml:space="preserve">study and apply it.  Possible topics include straw lamp shades, thatched roofs, Popsicle stick art, </w:t>
      </w:r>
      <w:proofErr w:type="spellStart"/>
      <w:r w:rsidRPr="006556F1">
        <w:rPr>
          <w:rFonts w:ascii="Times New Roman" w:hAnsi="Times New Roman" w:cs="Times New Roman"/>
          <w:sz w:val="24"/>
          <w:szCs w:val="24"/>
        </w:rPr>
        <w:t>etc</w:t>
      </w:r>
      <w:proofErr w:type="spellEnd"/>
    </w:p>
    <w:p w:rsidR="00632451" w:rsidRPr="006739EF" w:rsidRDefault="00632451" w:rsidP="00632451">
      <w:pPr>
        <w:autoSpaceDE w:val="0"/>
        <w:autoSpaceDN w:val="0"/>
        <w:adjustRightInd w:val="0"/>
      </w:pPr>
    </w:p>
    <w:p w:rsidR="00632451" w:rsidRPr="006739EF" w:rsidRDefault="00632451" w:rsidP="00632451">
      <w:pPr>
        <w:autoSpaceDE w:val="0"/>
        <w:autoSpaceDN w:val="0"/>
        <w:adjustRightInd w:val="0"/>
      </w:pPr>
      <w:r w:rsidRPr="006739EF">
        <w:rPr>
          <w:b/>
          <w:bCs/>
        </w:rPr>
        <w:t xml:space="preserve">Outcome Assessment: </w:t>
      </w:r>
      <w:r w:rsidRPr="006739EF">
        <w:t>In addition to analyzing student surveys administered by the College, the instructor will assess the outcomes of the course by considering student results on</w:t>
      </w:r>
      <w:r>
        <w:t xml:space="preserve"> specific questions on homework, quizzes, and exams</w:t>
      </w:r>
      <w:r w:rsidRPr="006739EF">
        <w:t>.</w:t>
      </w:r>
    </w:p>
    <w:p w:rsidR="00632451" w:rsidRPr="006739EF" w:rsidRDefault="00632451" w:rsidP="00632451">
      <w:pPr>
        <w:autoSpaceDE w:val="0"/>
        <w:autoSpaceDN w:val="0"/>
        <w:adjustRightInd w:val="0"/>
      </w:pPr>
    </w:p>
    <w:p w:rsidR="00632451" w:rsidRDefault="00632451" w:rsidP="00632451">
      <w:r w:rsidRPr="006739EF">
        <w:rPr>
          <w:b/>
          <w:bCs/>
        </w:rPr>
        <w:t>Person(s) who prepared this description and date of preparation:</w:t>
      </w:r>
      <w:r w:rsidRPr="00632451">
        <w:t xml:space="preserve"> </w:t>
      </w:r>
    </w:p>
    <w:p w:rsidR="00632451" w:rsidRDefault="00632451" w:rsidP="00632451">
      <w:r>
        <w:t xml:space="preserve">Mark Psyche and </w:t>
      </w:r>
      <w:proofErr w:type="spellStart"/>
      <w:r>
        <w:t>Erb</w:t>
      </w:r>
      <w:proofErr w:type="spellEnd"/>
      <w:r>
        <w:t xml:space="preserve"> </w:t>
      </w:r>
      <w:proofErr w:type="spellStart"/>
      <w:r>
        <w:t>Volkswagon</w:t>
      </w:r>
      <w:proofErr w:type="spellEnd"/>
      <w:r>
        <w:t xml:space="preserve">, </w:t>
      </w:r>
      <w:smartTag w:uri="urn:schemas-microsoft-com:office:smarttags" w:element="date">
        <w:smartTagPr>
          <w:attr w:name="Year" w:val="2004"/>
          <w:attr w:name="Day" w:val="1"/>
          <w:attr w:name="Month" w:val="4"/>
        </w:smartTagPr>
        <w:r>
          <w:t>April 1, 2004</w:t>
        </w:r>
      </w:smartTag>
    </w:p>
    <w:p w:rsidR="00632451" w:rsidRDefault="00632451" w:rsidP="00632451">
      <w:r>
        <w:t xml:space="preserve">Updated by Tim </w:t>
      </w:r>
      <w:proofErr w:type="spellStart"/>
      <w:r>
        <w:t>O’Shenko</w:t>
      </w:r>
      <w:proofErr w:type="spellEnd"/>
      <w:r>
        <w:t xml:space="preserve"> and </w:t>
      </w:r>
      <w:proofErr w:type="spellStart"/>
      <w:r>
        <w:t>Erb</w:t>
      </w:r>
      <w:proofErr w:type="spellEnd"/>
      <w:r>
        <w:t xml:space="preserve"> </w:t>
      </w:r>
      <w:proofErr w:type="spellStart"/>
      <w:r>
        <w:t>Volkswagon</w:t>
      </w:r>
      <w:proofErr w:type="spellEnd"/>
      <w:r>
        <w:t xml:space="preserve">, </w:t>
      </w:r>
      <w:r>
        <w:t>November 9, 2009</w:t>
      </w:r>
    </w:p>
    <w:p w:rsidR="00632451" w:rsidRDefault="00632451" w:rsidP="00632451">
      <w:r>
        <w:t xml:space="preserve">Update by E. Thompson and </w:t>
      </w:r>
      <w:proofErr w:type="spellStart"/>
      <w:r>
        <w:t>Erb</w:t>
      </w:r>
      <w:proofErr w:type="spellEnd"/>
      <w:r>
        <w:t xml:space="preserve"> </w:t>
      </w:r>
      <w:proofErr w:type="spellStart"/>
      <w:r>
        <w:t>Volkswagon</w:t>
      </w:r>
      <w:proofErr w:type="spellEnd"/>
      <w:r>
        <w:t xml:space="preserve">, </w:t>
      </w:r>
      <w:r>
        <w:t>March 5, 2015</w:t>
      </w:r>
    </w:p>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632451"/>
    <w:p w:rsidR="00A23F19" w:rsidRDefault="00A23F19" w:rsidP="00A23F19">
      <w:pPr>
        <w:pStyle w:val="Default"/>
        <w:spacing w:after="510" w:line="403" w:lineRule="atLeast"/>
        <w:jc w:val="center"/>
        <w:rPr>
          <w:sz w:val="28"/>
          <w:szCs w:val="28"/>
        </w:rPr>
      </w:pPr>
      <w:r>
        <w:rPr>
          <w:sz w:val="28"/>
          <w:szCs w:val="28"/>
        </w:rPr>
        <w:lastRenderedPageBreak/>
        <w:t xml:space="preserve">ABET "Outcomes" </w:t>
      </w:r>
      <w:r>
        <w:rPr>
          <w:sz w:val="28"/>
          <w:szCs w:val="28"/>
        </w:rPr>
        <w:br/>
      </w:r>
      <w:bookmarkStart w:id="0" w:name="_GoBack"/>
      <w:bookmarkEnd w:id="0"/>
      <w:r>
        <w:rPr>
          <w:sz w:val="28"/>
          <w:szCs w:val="28"/>
        </w:rPr>
        <w:t xml:space="preserve">Engineering programs must demonstrate that their graduates have: </w:t>
      </w:r>
      <w:r>
        <w:rPr>
          <w:sz w:val="28"/>
          <w:szCs w:val="28"/>
        </w:rPr>
        <w:br/>
      </w:r>
    </w:p>
    <w:tbl>
      <w:tblPr>
        <w:tblW w:w="8870" w:type="dxa"/>
        <w:tblLook w:val="0000" w:firstRow="0" w:lastRow="0" w:firstColumn="0" w:lastColumn="0" w:noHBand="0" w:noVBand="0"/>
      </w:tblPr>
      <w:tblGrid>
        <w:gridCol w:w="660"/>
        <w:gridCol w:w="8210"/>
      </w:tblGrid>
      <w:tr w:rsidR="00A23F19" w:rsidTr="005C78FD">
        <w:tblPrEx>
          <w:tblCellMar>
            <w:top w:w="0" w:type="dxa"/>
            <w:bottom w:w="0" w:type="dxa"/>
          </w:tblCellMar>
        </w:tblPrEx>
        <w:trPr>
          <w:trHeight w:val="748"/>
        </w:trPr>
        <w:tc>
          <w:tcPr>
            <w:tcW w:w="66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a </w:t>
            </w:r>
          </w:p>
        </w:tc>
        <w:tc>
          <w:tcPr>
            <w:tcW w:w="821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an ability to apply knowledge of mathematics, science, and engineering; </w:t>
            </w:r>
          </w:p>
        </w:tc>
      </w:tr>
      <w:tr w:rsidR="00A23F19" w:rsidTr="005C78FD">
        <w:tblPrEx>
          <w:tblCellMar>
            <w:top w:w="0" w:type="dxa"/>
            <w:bottom w:w="0" w:type="dxa"/>
          </w:tblCellMar>
        </w:tblPrEx>
        <w:trPr>
          <w:trHeight w:val="735"/>
        </w:trPr>
        <w:tc>
          <w:tcPr>
            <w:tcW w:w="66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b </w:t>
            </w:r>
          </w:p>
        </w:tc>
        <w:tc>
          <w:tcPr>
            <w:tcW w:w="821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an ability to design and conduct experiments, as well as to analyze and interpret data; </w:t>
            </w:r>
          </w:p>
        </w:tc>
      </w:tr>
      <w:tr w:rsidR="00A23F19" w:rsidTr="005C78FD">
        <w:tblPrEx>
          <w:tblCellMar>
            <w:top w:w="0" w:type="dxa"/>
            <w:bottom w:w="0" w:type="dxa"/>
          </w:tblCellMar>
        </w:tblPrEx>
        <w:trPr>
          <w:trHeight w:val="733"/>
        </w:trPr>
        <w:tc>
          <w:tcPr>
            <w:tcW w:w="66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c </w:t>
            </w:r>
          </w:p>
        </w:tc>
        <w:tc>
          <w:tcPr>
            <w:tcW w:w="821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an ability to design a system, component, or process to meet desired needs within realistic constraints such as economic, environmental, social, political, ethical, health and safety, manufacturability, and sustainability;</w:t>
            </w:r>
          </w:p>
        </w:tc>
      </w:tr>
      <w:tr w:rsidR="00A23F19" w:rsidTr="005C78FD">
        <w:tblPrEx>
          <w:tblCellMar>
            <w:top w:w="0" w:type="dxa"/>
            <w:bottom w:w="0" w:type="dxa"/>
          </w:tblCellMar>
        </w:tblPrEx>
        <w:trPr>
          <w:trHeight w:val="413"/>
        </w:trPr>
        <w:tc>
          <w:tcPr>
            <w:tcW w:w="66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d </w:t>
            </w:r>
          </w:p>
        </w:tc>
        <w:tc>
          <w:tcPr>
            <w:tcW w:w="821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an ability to function on multi-disciplinary teams; </w:t>
            </w:r>
          </w:p>
        </w:tc>
      </w:tr>
      <w:tr w:rsidR="00A23F19" w:rsidTr="005C78FD">
        <w:tblPrEx>
          <w:tblCellMar>
            <w:top w:w="0" w:type="dxa"/>
            <w:bottom w:w="0" w:type="dxa"/>
          </w:tblCellMar>
        </w:tblPrEx>
        <w:trPr>
          <w:trHeight w:val="413"/>
        </w:trPr>
        <w:tc>
          <w:tcPr>
            <w:tcW w:w="660" w:type="dxa"/>
            <w:tcBorders>
              <w:top w:val="single" w:sz="4" w:space="0" w:color="000000"/>
              <w:left w:val="single" w:sz="4" w:space="0" w:color="000000"/>
              <w:bottom w:val="single" w:sz="4" w:space="0" w:color="000000"/>
              <w:right w:val="single" w:sz="4" w:space="0" w:color="000000"/>
            </w:tcBorders>
            <w:vAlign w:val="bottom"/>
          </w:tcPr>
          <w:p w:rsidR="00A23F19" w:rsidRDefault="00A23F19" w:rsidP="005C78FD">
            <w:pPr>
              <w:pStyle w:val="Default"/>
              <w:rPr>
                <w:sz w:val="28"/>
                <w:szCs w:val="28"/>
              </w:rPr>
            </w:pPr>
            <w:r>
              <w:rPr>
                <w:sz w:val="28"/>
                <w:szCs w:val="28"/>
              </w:rPr>
              <w:t xml:space="preserve">e </w:t>
            </w:r>
          </w:p>
        </w:tc>
        <w:tc>
          <w:tcPr>
            <w:tcW w:w="821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an ability to identify, formulate, and solve engineering problems; </w:t>
            </w:r>
          </w:p>
        </w:tc>
      </w:tr>
      <w:tr w:rsidR="00A23F19" w:rsidTr="005C78FD">
        <w:tblPrEx>
          <w:tblCellMar>
            <w:top w:w="0" w:type="dxa"/>
            <w:bottom w:w="0" w:type="dxa"/>
          </w:tblCellMar>
        </w:tblPrEx>
        <w:trPr>
          <w:trHeight w:val="410"/>
        </w:trPr>
        <w:tc>
          <w:tcPr>
            <w:tcW w:w="66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f </w:t>
            </w:r>
          </w:p>
        </w:tc>
        <w:tc>
          <w:tcPr>
            <w:tcW w:w="821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an understanding of professional and ethical responsibility; </w:t>
            </w:r>
          </w:p>
        </w:tc>
      </w:tr>
      <w:tr w:rsidR="00A23F19" w:rsidTr="005C78FD">
        <w:tblPrEx>
          <w:tblCellMar>
            <w:top w:w="0" w:type="dxa"/>
            <w:bottom w:w="0" w:type="dxa"/>
          </w:tblCellMar>
        </w:tblPrEx>
        <w:trPr>
          <w:trHeight w:val="413"/>
        </w:trPr>
        <w:tc>
          <w:tcPr>
            <w:tcW w:w="660" w:type="dxa"/>
            <w:tcBorders>
              <w:top w:val="single" w:sz="4" w:space="0" w:color="000000"/>
              <w:left w:val="single" w:sz="4" w:space="0" w:color="000000"/>
              <w:bottom w:val="single" w:sz="4" w:space="0" w:color="000000"/>
              <w:right w:val="single" w:sz="4" w:space="0" w:color="000000"/>
            </w:tcBorders>
            <w:vAlign w:val="bottom"/>
          </w:tcPr>
          <w:p w:rsidR="00A23F19" w:rsidRDefault="00A23F19" w:rsidP="005C78FD">
            <w:pPr>
              <w:pStyle w:val="Default"/>
              <w:rPr>
                <w:sz w:val="28"/>
                <w:szCs w:val="28"/>
              </w:rPr>
            </w:pPr>
            <w:r>
              <w:rPr>
                <w:sz w:val="28"/>
                <w:szCs w:val="28"/>
              </w:rPr>
              <w:t xml:space="preserve">g </w:t>
            </w:r>
          </w:p>
        </w:tc>
        <w:tc>
          <w:tcPr>
            <w:tcW w:w="821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an ability to communicate effectively; </w:t>
            </w:r>
          </w:p>
        </w:tc>
      </w:tr>
      <w:tr w:rsidR="00A23F19" w:rsidTr="005C78FD">
        <w:tblPrEx>
          <w:tblCellMar>
            <w:top w:w="0" w:type="dxa"/>
            <w:bottom w:w="0" w:type="dxa"/>
          </w:tblCellMar>
        </w:tblPrEx>
        <w:trPr>
          <w:trHeight w:val="735"/>
        </w:trPr>
        <w:tc>
          <w:tcPr>
            <w:tcW w:w="66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h </w:t>
            </w:r>
          </w:p>
        </w:tc>
        <w:tc>
          <w:tcPr>
            <w:tcW w:w="821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the broad education necessary to understand the impact of engineering solutions in a global, economic, environmental, and societal context; </w:t>
            </w:r>
          </w:p>
        </w:tc>
      </w:tr>
      <w:tr w:rsidR="00A23F19" w:rsidTr="005C78FD">
        <w:tblPrEx>
          <w:tblCellMar>
            <w:top w:w="0" w:type="dxa"/>
            <w:bottom w:w="0" w:type="dxa"/>
          </w:tblCellMar>
        </w:tblPrEx>
        <w:trPr>
          <w:trHeight w:val="735"/>
        </w:trPr>
        <w:tc>
          <w:tcPr>
            <w:tcW w:w="66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i </w:t>
            </w:r>
          </w:p>
        </w:tc>
        <w:tc>
          <w:tcPr>
            <w:tcW w:w="821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a recognition of the need for, and an ability to engage in life-long learning; </w:t>
            </w:r>
          </w:p>
        </w:tc>
      </w:tr>
      <w:tr w:rsidR="00A23F19" w:rsidTr="005C78FD">
        <w:tblPrEx>
          <w:tblCellMar>
            <w:top w:w="0" w:type="dxa"/>
            <w:bottom w:w="0" w:type="dxa"/>
          </w:tblCellMar>
        </w:tblPrEx>
        <w:trPr>
          <w:trHeight w:val="410"/>
        </w:trPr>
        <w:tc>
          <w:tcPr>
            <w:tcW w:w="66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j </w:t>
            </w:r>
          </w:p>
        </w:tc>
        <w:tc>
          <w:tcPr>
            <w:tcW w:w="821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r>
              <w:rPr>
                <w:sz w:val="28"/>
                <w:szCs w:val="28"/>
              </w:rPr>
              <w:t xml:space="preserve">a knowledge of contemporary issues; </w:t>
            </w:r>
          </w:p>
        </w:tc>
      </w:tr>
      <w:tr w:rsidR="00A23F19" w:rsidTr="005C78FD">
        <w:tblPrEx>
          <w:tblCellMar>
            <w:top w:w="0" w:type="dxa"/>
            <w:bottom w:w="0" w:type="dxa"/>
          </w:tblCellMar>
        </w:tblPrEx>
        <w:trPr>
          <w:trHeight w:val="738"/>
        </w:trPr>
        <w:tc>
          <w:tcPr>
            <w:tcW w:w="660" w:type="dxa"/>
            <w:tcBorders>
              <w:top w:val="single" w:sz="4" w:space="0" w:color="000000"/>
              <w:left w:val="single" w:sz="4" w:space="0" w:color="000000"/>
              <w:bottom w:val="single" w:sz="4" w:space="0" w:color="000000"/>
              <w:right w:val="single" w:sz="4" w:space="0" w:color="000000"/>
            </w:tcBorders>
          </w:tcPr>
          <w:p w:rsidR="00A23F19" w:rsidRDefault="00A23F19" w:rsidP="005C78FD">
            <w:pPr>
              <w:pStyle w:val="Default"/>
              <w:rPr>
                <w:sz w:val="28"/>
                <w:szCs w:val="28"/>
              </w:rPr>
            </w:pPr>
            <w:r>
              <w:rPr>
                <w:sz w:val="28"/>
                <w:szCs w:val="28"/>
              </w:rPr>
              <w:t xml:space="preserve">k </w:t>
            </w:r>
          </w:p>
        </w:tc>
        <w:tc>
          <w:tcPr>
            <w:tcW w:w="8210" w:type="dxa"/>
            <w:tcBorders>
              <w:top w:val="single" w:sz="4" w:space="0" w:color="000000"/>
              <w:left w:val="single" w:sz="4" w:space="0" w:color="000000"/>
              <w:bottom w:val="single" w:sz="4" w:space="0" w:color="000000"/>
              <w:right w:val="single" w:sz="4" w:space="0" w:color="000000"/>
            </w:tcBorders>
            <w:vAlign w:val="center"/>
          </w:tcPr>
          <w:p w:rsidR="00A23F19" w:rsidRDefault="00A23F19" w:rsidP="005C78FD">
            <w:pPr>
              <w:pStyle w:val="Default"/>
              <w:rPr>
                <w:sz w:val="28"/>
                <w:szCs w:val="28"/>
              </w:rPr>
            </w:pPr>
            <w:proofErr w:type="gramStart"/>
            <w:r>
              <w:rPr>
                <w:sz w:val="28"/>
                <w:szCs w:val="28"/>
              </w:rPr>
              <w:t>an</w:t>
            </w:r>
            <w:proofErr w:type="gramEnd"/>
            <w:r>
              <w:rPr>
                <w:sz w:val="28"/>
                <w:szCs w:val="28"/>
              </w:rPr>
              <w:t xml:space="preserve"> ability to use the techniques, skills, and modern engineering tools necessary for engineering practice. </w:t>
            </w:r>
          </w:p>
        </w:tc>
      </w:tr>
    </w:tbl>
    <w:p w:rsidR="00A23F19" w:rsidRPr="00632451" w:rsidRDefault="00A23F19" w:rsidP="00632451"/>
    <w:sectPr w:rsidR="00A23F19" w:rsidRPr="00632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51" w:rsidRDefault="00632451" w:rsidP="00632451">
      <w:r>
        <w:separator/>
      </w:r>
    </w:p>
  </w:endnote>
  <w:endnote w:type="continuationSeparator" w:id="0">
    <w:p w:rsidR="00632451" w:rsidRDefault="00632451" w:rsidP="0063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LMMKN+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51" w:rsidRDefault="00632451" w:rsidP="00632451">
      <w:r>
        <w:separator/>
      </w:r>
    </w:p>
  </w:footnote>
  <w:footnote w:type="continuationSeparator" w:id="0">
    <w:p w:rsidR="00632451" w:rsidRDefault="00632451" w:rsidP="00632451">
      <w:r>
        <w:continuationSeparator/>
      </w:r>
    </w:p>
  </w:footnote>
  <w:footnote w:id="1">
    <w:p w:rsidR="005B61F2" w:rsidRDefault="005B61F2" w:rsidP="005B61F2">
      <w:pPr>
        <w:pStyle w:val="Footer"/>
      </w:pPr>
      <w:r>
        <w:rPr>
          <w:rStyle w:val="FootnoteReference"/>
        </w:rPr>
        <w:footnoteRef/>
      </w:r>
      <w:r>
        <w:t xml:space="preserve"> </w:t>
      </w:r>
      <w:r>
        <w:t xml:space="preserve">ABET outcomes are listed on page 3 of this document (please remove this footnote from the final </w:t>
      </w:r>
      <w:proofErr w:type="spellStart"/>
      <w:r>
        <w:t>syllabet</w:t>
      </w:r>
      <w:proofErr w:type="spellEnd"/>
      <w:r>
        <w:t xml:space="preserve">).  </w:t>
      </w:r>
    </w:p>
    <w:p w:rsidR="005B61F2" w:rsidRDefault="005B61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F7C53"/>
    <w:multiLevelType w:val="hybridMultilevel"/>
    <w:tmpl w:val="A3D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C2113"/>
    <w:multiLevelType w:val="hybridMultilevel"/>
    <w:tmpl w:val="9EFEEEAA"/>
    <w:lvl w:ilvl="0" w:tplc="6DFCD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768789C">
      <w:start w:val="1"/>
      <w:numFmt w:val="decimal"/>
      <w:lvlText w:val="%4."/>
      <w:lvlJc w:val="left"/>
      <w:pPr>
        <w:tabs>
          <w:tab w:val="num" w:pos="720"/>
        </w:tabs>
        <w:ind w:left="720" w:hanging="360"/>
      </w:pPr>
      <w:rPr>
        <w:rFonts w:hint="default"/>
      </w:rPr>
    </w:lvl>
    <w:lvl w:ilvl="4" w:tplc="072688DA">
      <w:start w:val="7"/>
      <w:numFmt w:val="decimal"/>
      <w:lvlText w:val="%5."/>
      <w:lvlJc w:val="left"/>
      <w:pPr>
        <w:tabs>
          <w:tab w:val="num" w:pos="360"/>
        </w:tabs>
        <w:ind w:left="3600" w:hanging="3600"/>
      </w:pPr>
      <w:rPr>
        <w:rFonts w:hint="default"/>
        <w:b/>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51"/>
    <w:rsid w:val="005B61F2"/>
    <w:rsid w:val="00632451"/>
    <w:rsid w:val="006556F1"/>
    <w:rsid w:val="006D74ED"/>
    <w:rsid w:val="00A23F19"/>
    <w:rsid w:val="00BE3489"/>
    <w:rsid w:val="00F0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3B83220-8C10-4D9C-83D8-654E94A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5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632451"/>
    <w:rPr>
      <w:color w:val="0000FF"/>
      <w:u w:val="single"/>
    </w:rPr>
  </w:style>
  <w:style w:type="paragraph" w:styleId="Header">
    <w:name w:val="header"/>
    <w:basedOn w:val="Normal"/>
    <w:link w:val="HeaderChar"/>
    <w:uiPriority w:val="99"/>
    <w:unhideWhenUsed/>
    <w:rsid w:val="00632451"/>
    <w:pPr>
      <w:tabs>
        <w:tab w:val="center" w:pos="4680"/>
        <w:tab w:val="right" w:pos="9360"/>
      </w:tabs>
    </w:pPr>
  </w:style>
  <w:style w:type="character" w:customStyle="1" w:styleId="HeaderChar">
    <w:name w:val="Header Char"/>
    <w:basedOn w:val="DefaultParagraphFont"/>
    <w:link w:val="Header"/>
    <w:uiPriority w:val="99"/>
    <w:rsid w:val="006324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451"/>
    <w:pPr>
      <w:tabs>
        <w:tab w:val="center" w:pos="4680"/>
        <w:tab w:val="right" w:pos="9360"/>
      </w:tabs>
    </w:pPr>
  </w:style>
  <w:style w:type="character" w:customStyle="1" w:styleId="FooterChar">
    <w:name w:val="Footer Char"/>
    <w:basedOn w:val="DefaultParagraphFont"/>
    <w:link w:val="Footer"/>
    <w:uiPriority w:val="99"/>
    <w:rsid w:val="0063245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32451"/>
    <w:rPr>
      <w:vertAlign w:val="superscript"/>
    </w:rPr>
  </w:style>
  <w:style w:type="paragraph" w:styleId="FootnoteText">
    <w:name w:val="footnote text"/>
    <w:basedOn w:val="Normal"/>
    <w:link w:val="FootnoteTextChar"/>
    <w:uiPriority w:val="99"/>
    <w:semiHidden/>
    <w:unhideWhenUsed/>
    <w:rsid w:val="005B61F2"/>
    <w:rPr>
      <w:sz w:val="20"/>
      <w:szCs w:val="20"/>
    </w:rPr>
  </w:style>
  <w:style w:type="character" w:customStyle="1" w:styleId="FootnoteTextChar">
    <w:name w:val="Footnote Text Char"/>
    <w:basedOn w:val="DefaultParagraphFont"/>
    <w:link w:val="FootnoteText"/>
    <w:uiPriority w:val="99"/>
    <w:semiHidden/>
    <w:rsid w:val="005B61F2"/>
    <w:rPr>
      <w:rFonts w:ascii="Times New Roman" w:eastAsia="Times New Roman" w:hAnsi="Times New Roman" w:cs="Times New Roman"/>
      <w:sz w:val="20"/>
      <w:szCs w:val="20"/>
    </w:rPr>
  </w:style>
  <w:style w:type="paragraph" w:customStyle="1" w:styleId="Default">
    <w:name w:val="Default"/>
    <w:uiPriority w:val="99"/>
    <w:rsid w:val="00A23F19"/>
    <w:pPr>
      <w:widowControl w:val="0"/>
      <w:autoSpaceDE w:val="0"/>
      <w:autoSpaceDN w:val="0"/>
      <w:adjustRightInd w:val="0"/>
      <w:spacing w:after="0" w:line="240" w:lineRule="auto"/>
    </w:pPr>
    <w:rPr>
      <w:rFonts w:ascii="ILMMKN+TimesNewRoman" w:eastAsia="Times New Roman" w:hAnsi="ILMMKN+TimesNewRoman" w:cs="ILMMKN+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Ivory</dc:creator>
  <cp:keywords/>
  <dc:description/>
  <cp:lastModifiedBy>Emily Ivory</cp:lastModifiedBy>
  <cp:revision>5</cp:revision>
  <dcterms:created xsi:type="dcterms:W3CDTF">2017-03-08T17:05:00Z</dcterms:created>
  <dcterms:modified xsi:type="dcterms:W3CDTF">2017-03-08T17:42:00Z</dcterms:modified>
</cp:coreProperties>
</file>